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507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1785"/>
        <w:gridCol w:w="1875"/>
        <w:gridCol w:w="1905"/>
        <w:gridCol w:w="2730"/>
        <w:gridCol w:w="5700"/>
      </w:tblGrid>
      <w:tr w14:paraId="409B47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jc w:val="center"/>
        </w:trPr>
        <w:tc>
          <w:tcPr>
            <w:tcW w:w="15075" w:type="dxa"/>
            <w:gridSpan w:val="6"/>
            <w:tcBorders>
              <w:top w:val="nil"/>
              <w:left w:val="nil"/>
              <w:bottom w:val="nil"/>
              <w:right w:val="nil"/>
            </w:tcBorders>
            <w:shd w:val="clear" w:color="auto" w:fill="auto"/>
            <w:noWrap/>
            <w:vAlign w:val="center"/>
          </w:tcPr>
          <w:p w14:paraId="6433D8BC">
            <w:pPr>
              <w:keepNext w:val="0"/>
              <w:keepLines w:val="0"/>
              <w:widowControl/>
              <w:suppressLineNumbers w:val="0"/>
              <w:jc w:val="center"/>
              <w:textAlignment w:val="center"/>
              <w:rPr>
                <w:rFonts w:ascii="黑体" w:hAnsi="宋体" w:eastAsia="黑体" w:cs="黑体"/>
                <w:i w:val="0"/>
                <w:iCs w:val="0"/>
                <w:color w:val="000000"/>
                <w:sz w:val="36"/>
                <w:szCs w:val="36"/>
                <w:u w:val="none"/>
              </w:rPr>
            </w:pPr>
            <w:r>
              <w:rPr>
                <w:rFonts w:hint="eastAsia" w:ascii="黑体" w:hAnsi="宋体" w:eastAsia="黑体" w:cs="黑体"/>
                <w:i w:val="0"/>
                <w:iCs w:val="0"/>
                <w:color w:val="000000"/>
                <w:kern w:val="0"/>
                <w:sz w:val="36"/>
                <w:szCs w:val="36"/>
                <w:u w:val="none"/>
                <w:lang w:val="en-US" w:eastAsia="zh-CN" w:bidi="ar"/>
              </w:rPr>
              <w:t>2025学年第一学期奉贤区青村小学教育收费公示</w:t>
            </w:r>
          </w:p>
        </w:tc>
      </w:tr>
      <w:tr w14:paraId="64A5A6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66C1E">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61E1C">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收费项目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04705">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收费单位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06E48">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收费标准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92EF5">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收费依据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5EABA">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备注</w:t>
            </w:r>
          </w:p>
        </w:tc>
      </w:tr>
      <w:tr w14:paraId="150658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FB1AC">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一、行政事业性收费项目</w:t>
            </w:r>
          </w:p>
        </w:tc>
      </w:tr>
      <w:tr w14:paraId="664014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FA9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59A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外籍</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小学生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就读收费</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792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每生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每学期</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6A4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3000元</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49CF9">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沪教委财（2007）8号</w:t>
            </w:r>
          </w:p>
        </w:tc>
        <w:tc>
          <w:tcPr>
            <w:tcW w:w="5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74C2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本市普通公办中小学接手在本市任职或就业外籍人员的偕行子女就读，其学费标准为小学每生每学期3000元，较高管理水平学校收费具体见文件。</w:t>
            </w:r>
          </w:p>
        </w:tc>
      </w:tr>
      <w:tr w14:paraId="77D5B0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1247E">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二、代办服务性收费项目</w:t>
            </w:r>
          </w:p>
        </w:tc>
      </w:tr>
      <w:tr w14:paraId="2D65C1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2C9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6D2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课外活动费</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221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每生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每学期</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7CA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150元</w:t>
            </w:r>
          </w:p>
        </w:tc>
        <w:tc>
          <w:tcPr>
            <w:tcW w:w="27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7692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沪价费（2015）13号</w:t>
            </w:r>
          </w:p>
        </w:tc>
        <w:tc>
          <w:tcPr>
            <w:tcW w:w="5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FE5A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春秋游、参观社会场馆。学生自愿，据实结算，多退少不补。（暂缓收取）</w:t>
            </w:r>
          </w:p>
        </w:tc>
      </w:tr>
      <w:tr w14:paraId="08152B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958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9A3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校服费</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CAD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每生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每套</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1B9A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150元、190元</w:t>
            </w:r>
          </w:p>
          <w:p w14:paraId="31A0AE32">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305元</w:t>
            </w:r>
            <w:bookmarkStart w:id="0" w:name="_GoBack"/>
            <w:bookmarkEnd w:id="0"/>
          </w:p>
        </w:tc>
        <w:tc>
          <w:tcPr>
            <w:tcW w:w="2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88BADB">
            <w:pPr>
              <w:jc w:val="center"/>
              <w:rPr>
                <w:rFonts w:hint="eastAsia" w:ascii="宋体" w:hAnsi="宋体" w:eastAsia="宋体" w:cs="宋体"/>
                <w:i w:val="0"/>
                <w:iCs w:val="0"/>
                <w:color w:val="000000"/>
                <w:sz w:val="24"/>
                <w:szCs w:val="24"/>
                <w:u w:val="none"/>
              </w:rPr>
            </w:pPr>
          </w:p>
        </w:tc>
        <w:tc>
          <w:tcPr>
            <w:tcW w:w="5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02898">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夏装：150元/套；春秋装：190元/套；冬装：305元/套，学生自愿，据实结算，多退少不补。</w:t>
            </w:r>
          </w:p>
        </w:tc>
      </w:tr>
      <w:tr w14:paraId="25994C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0C2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37C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餐费</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A38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每生每餐</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6B5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15元</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FE9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沪价费（2015）13号</w:t>
            </w:r>
          </w:p>
        </w:tc>
        <w:tc>
          <w:tcPr>
            <w:tcW w:w="5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DF8A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学生自愿，据实结算，多退少不补。</w:t>
            </w:r>
          </w:p>
        </w:tc>
      </w:tr>
      <w:tr w14:paraId="5628F1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E4CC3">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注：家庭经济困难学生资助政策</w:t>
            </w:r>
          </w:p>
        </w:tc>
      </w:tr>
      <w:tr w14:paraId="06D8D8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1507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529EDF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1、本市城镇低保家庭学生、特困供养人员、烈士子女、孤儿和建档立卡贫困家庭学生，免除义务教育阶段代办服务性收费。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2、对低收入困难家庭学生，免除免除义务教育阶段学校代办服务性收费项目中的餐费及课外教育活动费。（文件：沪教委规（2020）4号）</w:t>
            </w:r>
          </w:p>
        </w:tc>
      </w:tr>
      <w:tr w14:paraId="015A17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tcBorders>
              <w:top w:val="nil"/>
              <w:left w:val="nil"/>
              <w:bottom w:val="nil"/>
              <w:right w:val="nil"/>
            </w:tcBorders>
            <w:shd w:val="clear" w:color="auto" w:fill="auto"/>
            <w:noWrap/>
            <w:vAlign w:val="center"/>
          </w:tcPr>
          <w:p w14:paraId="36C48F06">
            <w:pPr>
              <w:rPr>
                <w:rFonts w:hint="eastAsia" w:ascii="宋体" w:hAnsi="宋体" w:eastAsia="宋体" w:cs="宋体"/>
                <w:i w:val="0"/>
                <w:iCs w:val="0"/>
                <w:color w:val="000000"/>
                <w:sz w:val="28"/>
                <w:szCs w:val="28"/>
                <w:u w:val="none"/>
              </w:rPr>
            </w:pPr>
          </w:p>
        </w:tc>
        <w:tc>
          <w:tcPr>
            <w:tcW w:w="0" w:type="auto"/>
            <w:tcBorders>
              <w:top w:val="nil"/>
              <w:left w:val="nil"/>
              <w:bottom w:val="nil"/>
              <w:right w:val="nil"/>
            </w:tcBorders>
            <w:shd w:val="clear" w:color="auto" w:fill="auto"/>
            <w:noWrap/>
            <w:vAlign w:val="center"/>
          </w:tcPr>
          <w:p w14:paraId="41CBDC95">
            <w:pPr>
              <w:rPr>
                <w:rFonts w:hint="eastAsia" w:ascii="宋体" w:hAnsi="宋体" w:eastAsia="宋体" w:cs="宋体"/>
                <w:i w:val="0"/>
                <w:iCs w:val="0"/>
                <w:color w:val="000000"/>
                <w:sz w:val="28"/>
                <w:szCs w:val="28"/>
                <w:u w:val="none"/>
              </w:rPr>
            </w:pPr>
          </w:p>
        </w:tc>
        <w:tc>
          <w:tcPr>
            <w:tcW w:w="0" w:type="auto"/>
            <w:tcBorders>
              <w:top w:val="nil"/>
              <w:left w:val="nil"/>
              <w:bottom w:val="nil"/>
              <w:right w:val="nil"/>
            </w:tcBorders>
            <w:shd w:val="clear" w:color="auto" w:fill="auto"/>
            <w:noWrap/>
            <w:vAlign w:val="center"/>
          </w:tcPr>
          <w:p w14:paraId="25E3DE75">
            <w:pPr>
              <w:rPr>
                <w:rFonts w:hint="eastAsia" w:ascii="宋体" w:hAnsi="宋体" w:eastAsia="宋体" w:cs="宋体"/>
                <w:i w:val="0"/>
                <w:iCs w:val="0"/>
                <w:color w:val="000000"/>
                <w:sz w:val="28"/>
                <w:szCs w:val="28"/>
                <w:u w:val="none"/>
              </w:rPr>
            </w:pPr>
          </w:p>
        </w:tc>
        <w:tc>
          <w:tcPr>
            <w:tcW w:w="0" w:type="auto"/>
            <w:tcBorders>
              <w:top w:val="nil"/>
              <w:left w:val="nil"/>
              <w:bottom w:val="nil"/>
              <w:right w:val="nil"/>
            </w:tcBorders>
            <w:shd w:val="clear" w:color="auto" w:fill="auto"/>
            <w:noWrap/>
            <w:vAlign w:val="center"/>
          </w:tcPr>
          <w:p w14:paraId="6A809647">
            <w:pPr>
              <w:rPr>
                <w:rFonts w:hint="eastAsia" w:ascii="宋体" w:hAnsi="宋体" w:eastAsia="宋体" w:cs="宋体"/>
                <w:i w:val="0"/>
                <w:iCs w:val="0"/>
                <w:color w:val="000000"/>
                <w:sz w:val="28"/>
                <w:szCs w:val="28"/>
                <w:u w:val="none"/>
              </w:rPr>
            </w:pPr>
          </w:p>
        </w:tc>
        <w:tc>
          <w:tcPr>
            <w:tcW w:w="0" w:type="auto"/>
            <w:tcBorders>
              <w:top w:val="nil"/>
              <w:left w:val="nil"/>
              <w:bottom w:val="nil"/>
              <w:right w:val="nil"/>
            </w:tcBorders>
            <w:shd w:val="clear" w:color="auto" w:fill="auto"/>
            <w:noWrap/>
            <w:vAlign w:val="center"/>
          </w:tcPr>
          <w:p w14:paraId="4AFAC73A">
            <w:pPr>
              <w:rPr>
                <w:rFonts w:hint="eastAsia" w:ascii="宋体" w:hAnsi="宋体" w:eastAsia="宋体" w:cs="宋体"/>
                <w:i w:val="0"/>
                <w:iCs w:val="0"/>
                <w:color w:val="000000"/>
                <w:sz w:val="28"/>
                <w:szCs w:val="28"/>
                <w:u w:val="none"/>
              </w:rPr>
            </w:pPr>
          </w:p>
        </w:tc>
        <w:tc>
          <w:tcPr>
            <w:tcW w:w="0" w:type="auto"/>
            <w:tcBorders>
              <w:top w:val="nil"/>
              <w:left w:val="nil"/>
              <w:bottom w:val="nil"/>
              <w:right w:val="nil"/>
            </w:tcBorders>
            <w:shd w:val="clear" w:color="auto" w:fill="auto"/>
            <w:noWrap/>
            <w:vAlign w:val="center"/>
          </w:tcPr>
          <w:p w14:paraId="2B5F62D2">
            <w:pPr>
              <w:rPr>
                <w:rFonts w:hint="eastAsia" w:ascii="宋体" w:hAnsi="宋体" w:eastAsia="宋体" w:cs="宋体"/>
                <w:i w:val="0"/>
                <w:iCs w:val="0"/>
                <w:color w:val="000000"/>
                <w:sz w:val="28"/>
                <w:szCs w:val="28"/>
                <w:u w:val="none"/>
              </w:rPr>
            </w:pPr>
          </w:p>
        </w:tc>
      </w:tr>
      <w:tr w14:paraId="7725A1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gridSpan w:val="6"/>
            <w:tcBorders>
              <w:top w:val="nil"/>
              <w:left w:val="nil"/>
              <w:bottom w:val="nil"/>
              <w:right w:val="nil"/>
            </w:tcBorders>
            <w:shd w:val="clear" w:color="auto" w:fill="auto"/>
            <w:noWrap/>
            <w:vAlign w:val="center"/>
          </w:tcPr>
          <w:p w14:paraId="75C6EC80">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Style w:val="4"/>
                <w:lang w:val="en-US" w:eastAsia="zh-CN" w:bidi="ar"/>
              </w:rPr>
              <w:t>收费咨询</w:t>
            </w:r>
            <w:r>
              <w:rPr>
                <w:rStyle w:val="5"/>
                <w:lang w:val="en-US" w:eastAsia="zh-CN" w:bidi="ar"/>
              </w:rPr>
              <w:t>：青村小学电话：57561388*8009</w:t>
            </w:r>
          </w:p>
        </w:tc>
      </w:tr>
      <w:tr w14:paraId="331FC3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gridSpan w:val="6"/>
            <w:tcBorders>
              <w:top w:val="nil"/>
              <w:left w:val="nil"/>
              <w:bottom w:val="nil"/>
              <w:right w:val="nil"/>
            </w:tcBorders>
            <w:shd w:val="clear" w:color="auto" w:fill="auto"/>
            <w:noWrap/>
            <w:vAlign w:val="center"/>
          </w:tcPr>
          <w:p w14:paraId="736DFF57">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Style w:val="4"/>
                <w:lang w:val="en-US" w:eastAsia="zh-CN" w:bidi="ar"/>
              </w:rPr>
              <w:t>监督举报</w:t>
            </w:r>
            <w:r>
              <w:rPr>
                <w:rStyle w:val="5"/>
                <w:lang w:val="en-US" w:eastAsia="zh-CN" w:bidi="ar"/>
              </w:rPr>
              <w:t>：奉贤区教育局电话：37597033      奉贤区物价局电话：37597035、37537022、37597003</w:t>
            </w:r>
          </w:p>
        </w:tc>
      </w:tr>
      <w:tr w14:paraId="565B1E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tcBorders>
              <w:top w:val="nil"/>
              <w:left w:val="nil"/>
              <w:bottom w:val="nil"/>
              <w:right w:val="nil"/>
            </w:tcBorders>
            <w:shd w:val="clear" w:color="auto" w:fill="auto"/>
            <w:noWrap/>
            <w:vAlign w:val="center"/>
          </w:tcPr>
          <w:p w14:paraId="1F3D86CB">
            <w:pPr>
              <w:rPr>
                <w:rFonts w:hint="eastAsia" w:ascii="宋体" w:hAnsi="宋体" w:eastAsia="宋体" w:cs="宋体"/>
                <w:i w:val="0"/>
                <w:iCs w:val="0"/>
                <w:color w:val="000000"/>
                <w:sz w:val="28"/>
                <w:szCs w:val="28"/>
                <w:u w:val="none"/>
              </w:rPr>
            </w:pPr>
          </w:p>
        </w:tc>
        <w:tc>
          <w:tcPr>
            <w:tcW w:w="0" w:type="auto"/>
            <w:tcBorders>
              <w:top w:val="nil"/>
              <w:left w:val="nil"/>
              <w:bottom w:val="nil"/>
              <w:right w:val="nil"/>
            </w:tcBorders>
            <w:shd w:val="clear" w:color="auto" w:fill="auto"/>
            <w:noWrap/>
            <w:vAlign w:val="center"/>
          </w:tcPr>
          <w:p w14:paraId="1842854C">
            <w:pPr>
              <w:rPr>
                <w:rFonts w:hint="eastAsia" w:ascii="宋体" w:hAnsi="宋体" w:eastAsia="宋体" w:cs="宋体"/>
                <w:i w:val="0"/>
                <w:iCs w:val="0"/>
                <w:color w:val="000000"/>
                <w:sz w:val="28"/>
                <w:szCs w:val="28"/>
                <w:u w:val="none"/>
              </w:rPr>
            </w:pPr>
          </w:p>
        </w:tc>
        <w:tc>
          <w:tcPr>
            <w:tcW w:w="0" w:type="auto"/>
            <w:tcBorders>
              <w:top w:val="nil"/>
              <w:left w:val="nil"/>
              <w:bottom w:val="nil"/>
              <w:right w:val="nil"/>
            </w:tcBorders>
            <w:shd w:val="clear" w:color="auto" w:fill="auto"/>
            <w:noWrap/>
            <w:vAlign w:val="center"/>
          </w:tcPr>
          <w:p w14:paraId="2452A5E2">
            <w:pPr>
              <w:rPr>
                <w:rFonts w:hint="eastAsia" w:ascii="宋体" w:hAnsi="宋体" w:eastAsia="宋体" w:cs="宋体"/>
                <w:i w:val="0"/>
                <w:iCs w:val="0"/>
                <w:color w:val="000000"/>
                <w:sz w:val="28"/>
                <w:szCs w:val="28"/>
                <w:u w:val="none"/>
              </w:rPr>
            </w:pPr>
          </w:p>
        </w:tc>
        <w:tc>
          <w:tcPr>
            <w:tcW w:w="0" w:type="auto"/>
            <w:tcBorders>
              <w:top w:val="nil"/>
              <w:left w:val="nil"/>
              <w:bottom w:val="nil"/>
              <w:right w:val="nil"/>
            </w:tcBorders>
            <w:shd w:val="clear" w:color="auto" w:fill="auto"/>
            <w:noWrap/>
            <w:vAlign w:val="center"/>
          </w:tcPr>
          <w:p w14:paraId="7C4D2160">
            <w:pPr>
              <w:rPr>
                <w:rFonts w:hint="eastAsia" w:ascii="宋体" w:hAnsi="宋体" w:eastAsia="宋体" w:cs="宋体"/>
                <w:i w:val="0"/>
                <w:iCs w:val="0"/>
                <w:color w:val="000000"/>
                <w:sz w:val="28"/>
                <w:szCs w:val="28"/>
                <w:u w:val="none"/>
              </w:rPr>
            </w:pPr>
          </w:p>
        </w:tc>
        <w:tc>
          <w:tcPr>
            <w:tcW w:w="0" w:type="auto"/>
            <w:tcBorders>
              <w:top w:val="nil"/>
              <w:left w:val="nil"/>
              <w:bottom w:val="nil"/>
              <w:right w:val="nil"/>
            </w:tcBorders>
            <w:shd w:val="clear" w:color="auto" w:fill="auto"/>
            <w:noWrap/>
            <w:vAlign w:val="center"/>
          </w:tcPr>
          <w:p w14:paraId="7649E7C6">
            <w:pPr>
              <w:rPr>
                <w:rFonts w:hint="eastAsia" w:ascii="宋体" w:hAnsi="宋体" w:eastAsia="宋体" w:cs="宋体"/>
                <w:i w:val="0"/>
                <w:iCs w:val="0"/>
                <w:color w:val="000000"/>
                <w:sz w:val="28"/>
                <w:szCs w:val="28"/>
                <w:u w:val="none"/>
              </w:rPr>
            </w:pPr>
          </w:p>
        </w:tc>
        <w:tc>
          <w:tcPr>
            <w:tcW w:w="0" w:type="auto"/>
            <w:tcBorders>
              <w:top w:val="nil"/>
              <w:left w:val="nil"/>
              <w:bottom w:val="nil"/>
              <w:right w:val="nil"/>
            </w:tcBorders>
            <w:shd w:val="clear" w:color="auto" w:fill="auto"/>
            <w:noWrap/>
            <w:vAlign w:val="center"/>
          </w:tcPr>
          <w:p w14:paraId="59FA1686">
            <w:pPr>
              <w:jc w:val="right"/>
              <w:rPr>
                <w:rFonts w:hint="eastAsia" w:ascii="宋体" w:hAnsi="宋体" w:eastAsia="宋体" w:cs="宋体"/>
                <w:i w:val="0"/>
                <w:iCs w:val="0"/>
                <w:color w:val="000000"/>
                <w:sz w:val="28"/>
                <w:szCs w:val="28"/>
                <w:u w:val="none"/>
                <w:lang w:eastAsia="zh-CN"/>
              </w:rPr>
            </w:pPr>
            <w:r>
              <w:rPr>
                <w:rFonts w:hint="eastAsia" w:ascii="宋体" w:hAnsi="宋体" w:eastAsia="宋体" w:cs="宋体"/>
                <w:i w:val="0"/>
                <w:iCs w:val="0"/>
                <w:color w:val="000000"/>
                <w:sz w:val="28"/>
                <w:szCs w:val="28"/>
                <w:u w:val="none"/>
                <w:lang w:eastAsia="zh-CN"/>
              </w:rPr>
              <w:t>奉贤区青村小学</w:t>
            </w:r>
          </w:p>
        </w:tc>
      </w:tr>
      <w:tr w14:paraId="5DB87B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tcBorders>
              <w:top w:val="nil"/>
              <w:left w:val="nil"/>
              <w:bottom w:val="nil"/>
              <w:right w:val="nil"/>
            </w:tcBorders>
            <w:shd w:val="clear" w:color="auto" w:fill="auto"/>
            <w:noWrap/>
            <w:vAlign w:val="center"/>
          </w:tcPr>
          <w:p w14:paraId="4A257D07">
            <w:pPr>
              <w:rPr>
                <w:rFonts w:hint="eastAsia" w:ascii="宋体" w:hAnsi="宋体" w:eastAsia="宋体" w:cs="宋体"/>
                <w:i w:val="0"/>
                <w:iCs w:val="0"/>
                <w:color w:val="000000"/>
                <w:sz w:val="28"/>
                <w:szCs w:val="28"/>
                <w:u w:val="none"/>
              </w:rPr>
            </w:pPr>
          </w:p>
        </w:tc>
        <w:tc>
          <w:tcPr>
            <w:tcW w:w="0" w:type="auto"/>
            <w:tcBorders>
              <w:top w:val="nil"/>
              <w:left w:val="nil"/>
              <w:bottom w:val="nil"/>
              <w:right w:val="nil"/>
            </w:tcBorders>
            <w:shd w:val="clear" w:color="auto" w:fill="auto"/>
            <w:noWrap/>
            <w:vAlign w:val="center"/>
          </w:tcPr>
          <w:p w14:paraId="6098C398">
            <w:pPr>
              <w:rPr>
                <w:rFonts w:hint="eastAsia" w:ascii="宋体" w:hAnsi="宋体" w:eastAsia="宋体" w:cs="宋体"/>
                <w:i w:val="0"/>
                <w:iCs w:val="0"/>
                <w:color w:val="000000"/>
                <w:sz w:val="28"/>
                <w:szCs w:val="28"/>
                <w:u w:val="none"/>
              </w:rPr>
            </w:pPr>
          </w:p>
        </w:tc>
        <w:tc>
          <w:tcPr>
            <w:tcW w:w="0" w:type="auto"/>
            <w:tcBorders>
              <w:top w:val="nil"/>
              <w:left w:val="nil"/>
              <w:bottom w:val="nil"/>
              <w:right w:val="nil"/>
            </w:tcBorders>
            <w:shd w:val="clear" w:color="auto" w:fill="auto"/>
            <w:noWrap/>
            <w:vAlign w:val="center"/>
          </w:tcPr>
          <w:p w14:paraId="3899D8BB">
            <w:pPr>
              <w:rPr>
                <w:rFonts w:hint="eastAsia" w:ascii="宋体" w:hAnsi="宋体" w:eastAsia="宋体" w:cs="宋体"/>
                <w:i w:val="0"/>
                <w:iCs w:val="0"/>
                <w:color w:val="000000"/>
                <w:sz w:val="28"/>
                <w:szCs w:val="28"/>
                <w:u w:val="none"/>
              </w:rPr>
            </w:pPr>
          </w:p>
        </w:tc>
        <w:tc>
          <w:tcPr>
            <w:tcW w:w="0" w:type="auto"/>
            <w:tcBorders>
              <w:top w:val="nil"/>
              <w:left w:val="nil"/>
              <w:bottom w:val="nil"/>
              <w:right w:val="nil"/>
            </w:tcBorders>
            <w:shd w:val="clear" w:color="auto" w:fill="auto"/>
            <w:noWrap/>
            <w:vAlign w:val="center"/>
          </w:tcPr>
          <w:p w14:paraId="7CBD06C3">
            <w:pPr>
              <w:rPr>
                <w:rFonts w:hint="eastAsia" w:ascii="宋体" w:hAnsi="宋体" w:eastAsia="宋体" w:cs="宋体"/>
                <w:i w:val="0"/>
                <w:iCs w:val="0"/>
                <w:color w:val="000000"/>
                <w:sz w:val="28"/>
                <w:szCs w:val="28"/>
                <w:u w:val="none"/>
              </w:rPr>
            </w:pPr>
          </w:p>
        </w:tc>
        <w:tc>
          <w:tcPr>
            <w:tcW w:w="0" w:type="auto"/>
            <w:tcBorders>
              <w:top w:val="nil"/>
              <w:left w:val="nil"/>
              <w:bottom w:val="nil"/>
              <w:right w:val="nil"/>
            </w:tcBorders>
            <w:shd w:val="clear" w:color="auto" w:fill="auto"/>
            <w:noWrap/>
            <w:vAlign w:val="center"/>
          </w:tcPr>
          <w:p w14:paraId="2786CDDF">
            <w:pPr>
              <w:rPr>
                <w:rFonts w:hint="eastAsia" w:ascii="宋体" w:hAnsi="宋体" w:eastAsia="宋体" w:cs="宋体"/>
                <w:i w:val="0"/>
                <w:iCs w:val="0"/>
                <w:color w:val="000000"/>
                <w:sz w:val="28"/>
                <w:szCs w:val="28"/>
                <w:u w:val="none"/>
              </w:rPr>
            </w:pPr>
          </w:p>
        </w:tc>
        <w:tc>
          <w:tcPr>
            <w:tcW w:w="0" w:type="auto"/>
            <w:tcBorders>
              <w:top w:val="nil"/>
              <w:left w:val="nil"/>
              <w:bottom w:val="nil"/>
              <w:right w:val="nil"/>
            </w:tcBorders>
            <w:shd w:val="clear" w:color="auto" w:fill="auto"/>
            <w:noWrap/>
            <w:vAlign w:val="center"/>
          </w:tcPr>
          <w:p w14:paraId="21141F1C">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2025年8月29日</w:t>
            </w:r>
          </w:p>
        </w:tc>
      </w:tr>
    </w:tbl>
    <w:p w14:paraId="7787BD34"/>
    <w:sectPr>
      <w:pgSz w:w="16838" w:h="11906" w:orient="landscape"/>
      <w:pgMar w:top="1800" w:right="1440" w:bottom="-12"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2924FC"/>
    <w:rsid w:val="3C2924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61"/>
    <w:basedOn w:val="3"/>
    <w:qFormat/>
    <w:uiPriority w:val="0"/>
    <w:rPr>
      <w:rFonts w:hint="eastAsia" w:ascii="宋体" w:hAnsi="宋体" w:eastAsia="宋体" w:cs="宋体"/>
      <w:b/>
      <w:bCs/>
      <w:color w:val="000000"/>
      <w:sz w:val="24"/>
      <w:szCs w:val="24"/>
      <w:u w:val="none"/>
    </w:rPr>
  </w:style>
  <w:style w:type="character" w:customStyle="1" w:styleId="5">
    <w:name w:val="font41"/>
    <w:basedOn w:val="3"/>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2025-08-28T07:11:00Z</dcterms:created>
  <dc:creator>赵鹰</dc:creator>
  <cp:lastModifiedBy>赵鹰</cp:lastModifiedBy>
  <dcterms:modified xsi:type="dcterms:W3CDTF">2025-08-28T07:18:58Z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E7C52D0F12644DC48F4A0C58983AE151_11</vt:lpwstr>
  </property>
  <property fmtid="{D5CDD505-2E9C-101B-9397-08002B2CF9AE}" pid="4" name="KSOTemplateDocerSaveRecord">
    <vt:lpwstr>eyJoZGlkIjoiYmI5MjFmYjA0ZDRlY2Y3NDQ1ZDllOGUzMjc3OGZmNWIiLCJ1c2VySWQiOiIzMDc4NzA1MzIifQ==</vt:lpwstr>
  </property>
</Properties>
</file>